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889 mm</w:t>
      </w:r>
      <w:r w:rsidR="00CA3A15" w:rsidRPr="00A705D7">
        <w:t xml:space="preserve"> </w:t>
      </w:r>
      <w:r w:rsidRPr="00A705D7">
        <w:t>Profondità esterna ca. 594 mm</w:t>
      </w:r>
      <w:r w:rsidR="00CA3A15" w:rsidRPr="00A705D7">
        <w:t xml:space="preserve"> </w:t>
      </w:r>
      <w:r w:rsidRPr="00A705D7">
        <w:t>Altezza esterna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Carico utile max.  60 kg,</w:t>
      </w:r>
      <w:r w:rsidRPr="00A705D7">
        <w:t xml:space="preserve"> </w:t>
      </w:r>
      <w:r w:rsidR="00425094" w:rsidRPr="00A705D7">
        <w:t>Volume di raccolta 21,3 L, Volume max. recipiente singolo 19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