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889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45 kg,</w:t>
      </w:r>
      <w:r w:rsidRPr="00A705D7">
        <w:t xml:space="preserve"> </w:t>
      </w:r>
      <w:r w:rsidR="00425094" w:rsidRPr="00A705D7">
        <w:t>Auffangvolumen 18,1 L, max. Volumen Einzelgebinde 16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