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1100 mm</w:t>
      </w:r>
      <w:r w:rsidR="00CA3A15" w:rsidRPr="00A705D7">
        <w:t xml:space="preserve"> </w:t>
      </w:r>
      <w:r w:rsidRPr="00A705D7">
        <w:t>Profondità esterna ca. 594 mm</w:t>
      </w:r>
      <w:r w:rsidR="00CA3A15" w:rsidRPr="00A705D7">
        <w:t xml:space="preserve"> </w:t>
      </w:r>
      <w:r w:rsidRPr="00A705D7">
        <w:t>Altezza esterna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2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340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Carico utile max.  90 kg,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