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Type de stockage stockage passif</w:t>
      </w:r>
      <w:r w:rsidRPr="00A705D7">
        <w:t xml:space="preserve"> von brennbaren Flüssigkeiten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serrure serrure à cylindre</w:t>
      </w:r>
      <w:r w:rsidRPr="00A705D7">
        <w:t xml:space="preserve">, </w:t>
      </w:r>
      <w:r w:rsidR="00472C9E" w:rsidRPr="00A705D7">
        <w:t/>
      </w:r>
      <w:r w:rsidRPr="00A705D7">
        <w:t xml:space="preserve">, </w:t>
      </w:r>
      <w:r w:rsidR="00472C9E" w:rsidRPr="00A705D7">
        <w:t>socle classique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14470 - 1 oui</w:t>
      </w:r>
      <w:r w:rsidR="00CA3A15" w:rsidRPr="00A705D7">
        <w:t xml:space="preserve">, </w:t>
      </w:r>
      <w:r w:rsidR="00472C9E" w:rsidRPr="00A705D7">
        <w:t>DIN EN 16121/16122 oui</w:t>
      </w:r>
      <w:r w:rsidR="00CA3A15" w:rsidRPr="00A705D7">
        <w:t xml:space="preserve">, </w:t>
      </w:r>
      <w:r w:rsidR="00472C9E" w:rsidRPr="00A705D7">
        <w:t>Conformité CE oui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Type de porte porte battante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Revêtement intérieur (couleur) tôle d'acier</w:t>
      </w:r>
      <w:r w:rsidR="00CA3A15" w:rsidRPr="00A705D7">
        <w:t xml:space="preserve">, </w:t>
      </w:r>
      <w:r w:rsidRPr="00A705D7">
        <w:t>bac de rétention au sol</w:t>
      </w:r>
      <w:r w:rsidR="00CA3A15" w:rsidRPr="00A705D7">
        <w:t xml:space="preserve">, </w:t>
      </w:r>
      <w:r w:rsidRPr="00A705D7">
        <w:t/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/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