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Tipo di stoccaggio stoccaggio passivo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battente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594 mm</w:t>
      </w:r>
      <w:r w:rsidR="00CA3A15" w:rsidRPr="00A705D7">
        <w:t xml:space="preserve"> </w:t>
      </w:r>
      <w:r w:rsidRPr="00A705D7">
        <w:t>Profondità esterna ca. 747 mm</w:t>
      </w:r>
      <w:r w:rsidR="00CA3A15" w:rsidRPr="00A705D7">
        <w:t xml:space="preserve"> </w:t>
      </w:r>
      <w:r w:rsidRPr="00A705D7">
        <w:t>Altezza esterna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4</w:t>
      </w:r>
      <w:r w:rsidR="00CA3A15" w:rsidRPr="00A705D7">
        <w:t xml:space="preserve"> als </w:t>
      </w:r>
      <w:r w:rsidRPr="00A705D7">
        <w:t/>
      </w:r>
      <w:r w:rsidR="00F77C17" w:rsidRPr="00A705D7">
        <w:t xml:space="preserve"> Ripiano estraibile</w:t>
      </w:r>
      <w:r w:rsidR="00CA3A15" w:rsidRPr="00A705D7">
        <w:t xml:space="preserve"> </w:t>
      </w:r>
      <w:r w:rsidRPr="00A705D7">
        <w:t>Altezza di inserimento ca. 374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Carico utile max.  240 kg,</w:t>
      </w:r>
      <w:r w:rsidRPr="00A705D7">
        <w:t xml:space="preserve"> </w:t>
      </w:r>
      <w:r w:rsidR="00425094" w:rsidRPr="00A705D7">
        <w:t>Volume di raccolta 16,5 L, Volume max. recipiente singolo 15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