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>Type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forme d’étrier en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>Couleur des portes RAL 1018</w:t>
      </w:r>
      <w:r w:rsidR="00CA3A15" w:rsidRPr="00A705D7">
        <w:t>,</w:t>
      </w:r>
      <w:r w:rsidR="00CC410A" w:rsidRPr="00A705D7">
        <w:t xml:space="preserve"> </w:t>
      </w:r>
      <w:r w:rsidRPr="00A705D7">
        <w:t>Couleur d’armoire RAL 7035</w:t>
      </w:r>
      <w:r w:rsidR="00CA3A15" w:rsidRPr="00A705D7">
        <w:t>,</w:t>
      </w:r>
      <w:r w:rsidR="00CC410A" w:rsidRPr="00A705D7">
        <w:t xml:space="preserve"> </w:t>
      </w:r>
      <w:r w:rsidRPr="00A705D7">
        <w:t>Couleur du socle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Matériau de l’aménagement intérieur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/>
      </w:r>
      <w:r w:rsidR="00F77C17" w:rsidRPr="00A705D7">
        <w:t xml:space="preserve"> Étagère coulissante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