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5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 L, max. Volumen Einzelgebinde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