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33 L, max. Volumen Einzelgebinde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